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right"/>
        <w:rPr>
          <w:rFonts w:cs="Times New Roman"/>
          <w:b/>
          <w:bCs/>
          <w:sz w:val="32"/>
          <w:szCs w:val="32"/>
          <w:u w:val="single"/>
        </w:rPr>
      </w:pPr>
      <w:bookmarkStart w:id="0" w:name="_GoBack"/>
      <w:bookmarkEnd w:id="0"/>
      <w:r>
        <w:rPr>
          <w:rFonts w:cs="Times New Roman"/>
          <w:b/>
          <w:bCs/>
          <w:sz w:val="32"/>
          <w:szCs w:val="32"/>
          <w:u w:val="single"/>
        </w:rPr>
        <w:t>Annexure - III</w:t>
      </w:r>
    </w:p>
    <w:p>
      <w:pPr>
        <w:jc w:val="both"/>
        <w:rPr>
          <w:rFonts w:ascii="Tw Cen MT" w:hAnsi="Tw Cen MT"/>
        </w:rPr>
      </w:pPr>
    </w:p>
    <w:p>
      <w:pPr>
        <w:jc w:val="both"/>
        <w:rPr>
          <w:rFonts w:ascii="Tw Cen MT" w:hAnsi="Tw Cen MT"/>
        </w:rPr>
      </w:pPr>
    </w:p>
    <w:p>
      <w:pPr>
        <w:jc w:val="both"/>
        <w:rPr>
          <w:rFonts w:ascii="Tw Cen MT" w:hAnsi="Tw Cen MT" w:cs="Arial"/>
          <w:b/>
          <w:bCs/>
        </w:rPr>
      </w:pPr>
    </w:p>
    <w:p>
      <w:pPr>
        <w:ind w:firstLine="720"/>
        <w:jc w:val="center"/>
        <w:rPr>
          <w:rFonts w:ascii="Arial Black" w:hAnsi="Arial Black" w:cs="Times New Roman"/>
          <w:b/>
          <w:bCs/>
          <w:sz w:val="40"/>
          <w:szCs w:val="40"/>
          <w:u w:val="single"/>
        </w:rPr>
      </w:pPr>
      <w:r>
        <w:rPr>
          <w:rFonts w:ascii="Arial Black" w:hAnsi="Arial Black" w:cs="Times New Roman"/>
          <w:b/>
          <w:bCs/>
          <w:sz w:val="40"/>
          <w:szCs w:val="40"/>
          <w:highlight w:val="green"/>
          <w:u w:val="single"/>
        </w:rPr>
        <w:t>PRICE BID</w:t>
      </w:r>
    </w:p>
    <w:p>
      <w:pPr>
        <w:ind w:firstLine="720"/>
        <w:jc w:val="both"/>
        <w:rPr>
          <w:rFonts w:cs="Times New Roman"/>
          <w:b/>
          <w:bCs/>
        </w:rPr>
      </w:pPr>
    </w:p>
    <w:p>
      <w:pPr>
        <w:jc w:val="both"/>
        <w:rPr>
          <w:rFonts w:cs="Times New Roman"/>
          <w:b/>
          <w:bCs/>
          <w:sz w:val="28"/>
          <w:szCs w:val="28"/>
        </w:rPr>
      </w:pPr>
      <w:proofErr w:type="gramStart"/>
      <w:r>
        <w:rPr>
          <w:rFonts w:cs="Times New Roman"/>
          <w:b/>
          <w:bCs/>
          <w:sz w:val="28"/>
          <w:szCs w:val="28"/>
        </w:rPr>
        <w:t>Sub :</w:t>
      </w:r>
      <w:proofErr w:type="gramEnd"/>
      <w:r>
        <w:rPr>
          <w:rFonts w:cs="Times New Roman"/>
          <w:b/>
          <w:bCs/>
          <w:sz w:val="28"/>
          <w:szCs w:val="28"/>
        </w:rPr>
        <w:t xml:space="preserve"> </w:t>
      </w:r>
      <w:r>
        <w:rPr>
          <w:b/>
          <w:bCs/>
        </w:rPr>
        <w:t xml:space="preserve">The work of </w:t>
      </w:r>
      <w:r>
        <w:rPr>
          <w:rFonts w:cs="Times New Roman"/>
          <w:b/>
          <w:bCs/>
          <w:lang w:bidi="ar-SA"/>
        </w:rPr>
        <w:t>annual  maintenance contract for Preventive and breakdown maintenance of reciprocating compressors(34 nos.) and Screw compressors(10 nos.) in TCB BL.III and UHV Transformer block.</w:t>
      </w:r>
    </w:p>
    <w:p>
      <w:pPr>
        <w:ind w:firstLine="720"/>
        <w:jc w:val="both"/>
        <w:rPr>
          <w:rFonts w:cs="Times New Roman"/>
          <w:b/>
          <w:bCs/>
          <w:i/>
          <w:iCs/>
        </w:rPr>
      </w:pPr>
    </w:p>
    <w:p>
      <w:pPr>
        <w:jc w:val="both"/>
        <w:rPr>
          <w:rFonts w:cs="Times New Roman"/>
          <w:b/>
          <w:bCs/>
        </w:rPr>
      </w:pPr>
    </w:p>
    <w:p>
      <w:pPr>
        <w:jc w:val="both"/>
        <w:rPr>
          <w:rFonts w:cs="Times New Roman"/>
          <w:b/>
          <w:bCs/>
        </w:rPr>
      </w:pPr>
    </w:p>
    <w:p>
      <w:pPr>
        <w:jc w:val="both"/>
        <w:rPr>
          <w:rFonts w:cs="Times New Roman"/>
          <w:b/>
          <w:bCs/>
        </w:rPr>
      </w:pPr>
      <w:r>
        <w:rPr>
          <w:rFonts w:cs="Times New Roman"/>
          <w:b/>
          <w:bCs/>
        </w:rPr>
        <w:tab/>
      </w:r>
    </w:p>
    <w:tbl>
      <w:tblPr>
        <w:tblStyle w:val="TableGrid"/>
        <w:tblW w:w="9953" w:type="dxa"/>
        <w:tblInd w:w="392" w:type="dxa"/>
        <w:tblLook w:val="04A0" w:firstRow="1" w:lastRow="0" w:firstColumn="1" w:lastColumn="0" w:noHBand="0" w:noVBand="1"/>
      </w:tblPr>
      <w:tblGrid>
        <w:gridCol w:w="2977"/>
        <w:gridCol w:w="3196"/>
        <w:gridCol w:w="3780"/>
      </w:tblGrid>
      <w:tr>
        <w:trPr>
          <w:trHeight w:val="850"/>
        </w:trPr>
        <w:tc>
          <w:tcPr>
            <w:tcW w:w="2977" w:type="dxa"/>
            <w:vAlign w:val="center"/>
          </w:tcPr>
          <w:p>
            <w:pPr>
              <w:rPr>
                <w:rFonts w:cs="Times New Roman"/>
                <w:b/>
                <w:bCs/>
                <w:sz w:val="28"/>
                <w:szCs w:val="28"/>
              </w:rPr>
            </w:pPr>
            <w:r>
              <w:rPr>
                <w:rFonts w:cs="Times New Roman"/>
                <w:b/>
                <w:bCs/>
                <w:sz w:val="28"/>
                <w:szCs w:val="28"/>
              </w:rPr>
              <w:t>No. of man-days required</w:t>
            </w:r>
          </w:p>
        </w:tc>
        <w:tc>
          <w:tcPr>
            <w:tcW w:w="3196" w:type="dxa"/>
            <w:vAlign w:val="center"/>
          </w:tcPr>
          <w:p>
            <w:pPr>
              <w:rPr>
                <w:rFonts w:cs="Times New Roman"/>
                <w:b/>
                <w:bCs/>
                <w:sz w:val="28"/>
                <w:szCs w:val="28"/>
              </w:rPr>
            </w:pPr>
            <w:r>
              <w:rPr>
                <w:rFonts w:cs="Times New Roman"/>
                <w:b/>
                <w:bCs/>
                <w:sz w:val="28"/>
                <w:szCs w:val="28"/>
              </w:rPr>
              <w:t>606 for Skilled</w:t>
            </w:r>
          </w:p>
        </w:tc>
        <w:tc>
          <w:tcPr>
            <w:tcW w:w="3780" w:type="dxa"/>
            <w:vAlign w:val="center"/>
          </w:tcPr>
          <w:p>
            <w:pPr>
              <w:rPr>
                <w:rFonts w:cs="Times New Roman"/>
                <w:b/>
                <w:bCs/>
                <w:sz w:val="28"/>
                <w:szCs w:val="28"/>
              </w:rPr>
            </w:pPr>
            <w:r>
              <w:rPr>
                <w:rFonts w:cs="Times New Roman"/>
                <w:b/>
                <w:bCs/>
                <w:sz w:val="28"/>
                <w:szCs w:val="28"/>
              </w:rPr>
              <w:t>606 un-skilled</w:t>
            </w:r>
          </w:p>
        </w:tc>
      </w:tr>
      <w:tr>
        <w:trPr>
          <w:trHeight w:val="1304"/>
        </w:trPr>
        <w:tc>
          <w:tcPr>
            <w:tcW w:w="2977" w:type="dxa"/>
            <w:vAlign w:val="center"/>
          </w:tcPr>
          <w:p>
            <w:pPr>
              <w:rPr>
                <w:rFonts w:cs="Times New Roman"/>
                <w:b/>
                <w:bCs/>
                <w:i/>
                <w:iCs/>
              </w:rPr>
            </w:pPr>
            <w:r>
              <w:rPr>
                <w:rFonts w:cs="Times New Roman"/>
                <w:b/>
                <w:bCs/>
                <w:i/>
                <w:iCs/>
              </w:rPr>
              <w:t>One day charge for worker weightage</w:t>
            </w:r>
          </w:p>
        </w:tc>
        <w:tc>
          <w:tcPr>
            <w:tcW w:w="3196" w:type="dxa"/>
            <w:vAlign w:val="center"/>
          </w:tcPr>
          <w:p>
            <w:pPr>
              <w:rPr>
                <w:rFonts w:cs="Times New Roman"/>
                <w:b/>
                <w:bCs/>
                <w:i/>
                <w:iCs/>
              </w:rPr>
            </w:pPr>
          </w:p>
          <w:p>
            <w:pPr>
              <w:rPr>
                <w:rFonts w:cs="Times New Roman"/>
                <w:b/>
                <w:bCs/>
                <w:i/>
                <w:iCs/>
              </w:rPr>
            </w:pPr>
          </w:p>
          <w:p>
            <w:pPr>
              <w:rPr>
                <w:rFonts w:cs="Times New Roman"/>
                <w:b/>
                <w:bCs/>
                <w:i/>
                <w:iCs/>
              </w:rPr>
            </w:pPr>
          </w:p>
          <w:p>
            <w:pPr>
              <w:rPr>
                <w:rFonts w:cs="Times New Roman"/>
                <w:b/>
                <w:bCs/>
                <w:i/>
                <w:iCs/>
              </w:rPr>
            </w:pPr>
          </w:p>
        </w:tc>
        <w:tc>
          <w:tcPr>
            <w:tcW w:w="3780" w:type="dxa"/>
            <w:vAlign w:val="center"/>
          </w:tcPr>
          <w:p>
            <w:pPr>
              <w:rPr>
                <w:rFonts w:cs="Times New Roman"/>
                <w:b/>
                <w:bCs/>
                <w:i/>
                <w:iCs/>
              </w:rPr>
            </w:pPr>
            <w:r>
              <w:rPr>
                <w:rFonts w:cs="Times New Roman"/>
                <w:b/>
                <w:bCs/>
                <w:i/>
                <w:iCs/>
              </w:rPr>
              <w:t>0.80 times of Skilled</w:t>
            </w:r>
          </w:p>
        </w:tc>
      </w:tr>
      <w:tr>
        <w:trPr>
          <w:trHeight w:val="1304"/>
        </w:trPr>
        <w:tc>
          <w:tcPr>
            <w:tcW w:w="2977" w:type="dxa"/>
            <w:vAlign w:val="center"/>
          </w:tcPr>
          <w:p>
            <w:pPr>
              <w:rPr>
                <w:rFonts w:cs="Times New Roman"/>
                <w:b/>
                <w:bCs/>
                <w:i/>
                <w:iCs/>
              </w:rPr>
            </w:pPr>
            <w:r>
              <w:rPr>
                <w:rFonts w:cs="Times New Roman"/>
                <w:b/>
                <w:bCs/>
                <w:i/>
                <w:iCs/>
              </w:rPr>
              <w:t xml:space="preserve">RATE QUOTED </w:t>
            </w:r>
          </w:p>
        </w:tc>
        <w:tc>
          <w:tcPr>
            <w:tcW w:w="3196" w:type="dxa"/>
            <w:vAlign w:val="center"/>
          </w:tcPr>
          <w:p>
            <w:pPr>
              <w:rPr>
                <w:rFonts w:cs="Times New Roman"/>
                <w:b/>
                <w:bCs/>
                <w:i/>
                <w:iCs/>
              </w:rPr>
            </w:pPr>
            <w:r>
              <w:rPr>
                <w:rFonts w:cs="Times New Roman"/>
                <w:b/>
                <w:bCs/>
                <w:i/>
                <w:iCs/>
              </w:rPr>
              <w:t>IN FIGURE:</w:t>
            </w:r>
          </w:p>
        </w:tc>
        <w:tc>
          <w:tcPr>
            <w:tcW w:w="3780" w:type="dxa"/>
            <w:vAlign w:val="center"/>
          </w:tcPr>
          <w:p>
            <w:pPr>
              <w:rPr>
                <w:rFonts w:cs="Times New Roman"/>
                <w:b/>
                <w:bCs/>
                <w:i/>
                <w:iCs/>
              </w:rPr>
            </w:pPr>
            <w:r>
              <w:rPr>
                <w:rFonts w:cs="Times New Roman"/>
                <w:b/>
                <w:bCs/>
                <w:i/>
                <w:iCs/>
              </w:rPr>
              <w:t>IN WORD:</w:t>
            </w:r>
          </w:p>
        </w:tc>
      </w:tr>
    </w:tbl>
    <w:p>
      <w:pPr>
        <w:jc w:val="both"/>
        <w:rPr>
          <w:rFonts w:cs="Times New Roman"/>
          <w:b/>
          <w:bCs/>
        </w:rPr>
      </w:pPr>
    </w:p>
    <w:p>
      <w:pPr>
        <w:jc w:val="both"/>
        <w:rPr>
          <w:rFonts w:ascii="Verdana" w:hAnsi="Verdana"/>
          <w:color w:val="333333"/>
          <w:shd w:val="clear" w:color="auto" w:fill="D6FFCC"/>
        </w:rPr>
      </w:pPr>
      <w:r>
        <w:rPr>
          <w:rFonts w:cs="Times New Roman"/>
          <w:b/>
          <w:bCs/>
        </w:rPr>
        <w:t>NOTE:</w:t>
      </w:r>
      <w:r>
        <w:rPr>
          <w:rFonts w:eastAsia="MS Mincho"/>
          <w:b/>
          <w:bCs/>
          <w:sz w:val="22"/>
          <w:szCs w:val="22"/>
        </w:rPr>
        <w:t xml:space="preserve"> NOTE: </w:t>
      </w:r>
      <w:proofErr w:type="spellStart"/>
      <w:r>
        <w:rPr>
          <w:rFonts w:eastAsia="MS Mincho"/>
          <w:b/>
          <w:bCs/>
          <w:sz w:val="22"/>
          <w:szCs w:val="22"/>
        </w:rPr>
        <w:t>i</w:t>
      </w:r>
      <w:proofErr w:type="spellEnd"/>
      <w:r>
        <w:rPr>
          <w:rFonts w:eastAsia="MS Mincho"/>
          <w:b/>
          <w:bCs/>
          <w:sz w:val="22"/>
          <w:szCs w:val="22"/>
        </w:rPr>
        <w:t>.</w:t>
      </w:r>
      <w:r>
        <w:rPr>
          <w:rFonts w:ascii="Verdana" w:hAnsi="Verdana"/>
          <w:color w:val="333333"/>
          <w:shd w:val="clear" w:color="auto" w:fill="D6FFCC"/>
        </w:rPr>
        <w:t xml:space="preserve"> Rate quoted has been in both figures and words.</w:t>
      </w:r>
    </w:p>
    <w:p>
      <w:pPr>
        <w:jc w:val="both"/>
        <w:rPr>
          <w:rFonts w:eastAsia="MS Mincho"/>
          <w:b/>
          <w:bCs/>
          <w:sz w:val="22"/>
          <w:szCs w:val="22"/>
        </w:rPr>
      </w:pPr>
      <w:r>
        <w:rPr>
          <w:rFonts w:ascii="Verdana" w:hAnsi="Verdana"/>
          <w:color w:val="333333"/>
          <w:shd w:val="clear" w:color="auto" w:fill="D6FFCC"/>
        </w:rPr>
        <w:t>II. Rate will be firm throughout the contract.</w:t>
      </w:r>
    </w:p>
    <w:p>
      <w:pPr>
        <w:jc w:val="both"/>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iii.</w:t>
      </w:r>
      <w:r>
        <w:rPr>
          <w:rFonts w:ascii="Courier New" w:hAnsi="Courier New" w:cs="Courier New"/>
          <w:b/>
          <w:bCs/>
          <w:color w:val="000000"/>
          <w:u w:val="single"/>
          <w:shd w:val="clear" w:color="auto" w:fill="FFFFFF"/>
        </w:rPr>
        <w:t>Price</w:t>
      </w:r>
      <w:proofErr w:type="spellEnd"/>
      <w:r>
        <w:rPr>
          <w:rFonts w:ascii="Courier New" w:hAnsi="Courier New" w:cs="Courier New"/>
          <w:b/>
          <w:bCs/>
          <w:color w:val="000000"/>
          <w:u w:val="single"/>
          <w:shd w:val="clear" w:color="auto" w:fill="FFFFFF"/>
        </w:rPr>
        <w:t xml:space="preserve"> shall be quoted by bidders excluding Bonus.</w:t>
      </w:r>
    </w:p>
    <w:p>
      <w:pPr>
        <w:jc w:val="both"/>
        <w:rPr>
          <w:rFonts w:ascii="Verdana" w:hAnsi="Verdana" w:cs="Times New Roman"/>
          <w:color w:val="333333"/>
        </w:rPr>
      </w:pPr>
      <w:r>
        <w:rPr>
          <w:rFonts w:ascii="Verdana" w:hAnsi="Verdana" w:cs="Times New Roman"/>
          <w:color w:val="333333"/>
        </w:rPr>
        <w:t xml:space="preserve">iv.  Price Shall </w:t>
      </w:r>
      <w:proofErr w:type="gramStart"/>
      <w:r>
        <w:rPr>
          <w:rFonts w:ascii="Verdana" w:hAnsi="Verdana" w:cs="Times New Roman"/>
          <w:color w:val="333333"/>
        </w:rPr>
        <w:t>be  quoted</w:t>
      </w:r>
      <w:proofErr w:type="gramEnd"/>
      <w:r>
        <w:rPr>
          <w:rFonts w:ascii="Verdana" w:hAnsi="Verdana" w:cs="Times New Roman"/>
          <w:color w:val="333333"/>
        </w:rPr>
        <w:t xml:space="preserve"> both in figures and in words.</w:t>
      </w:r>
    </w:p>
    <w:p>
      <w:pPr>
        <w:jc w:val="both"/>
        <w:rPr>
          <w:rFonts w:ascii="Verdana" w:hAnsi="Verdana" w:cs="Times New Roman"/>
          <w:color w:val="333333"/>
        </w:rPr>
      </w:pPr>
    </w:p>
    <w:p>
      <w:pPr>
        <w:jc w:val="both"/>
        <w:rPr>
          <w:rFonts w:ascii="Verdana" w:hAnsi="Verdana" w:cs="Times New Roman"/>
          <w:color w:val="333333"/>
        </w:rPr>
      </w:pPr>
    </w:p>
    <w:p>
      <w:pPr>
        <w:tabs>
          <w:tab w:val="left" w:pos="3420"/>
          <w:tab w:val="left" w:pos="3690"/>
          <w:tab w:val="left" w:pos="4140"/>
          <w:tab w:val="left" w:pos="8460"/>
        </w:tabs>
        <w:spacing w:before="120" w:after="120"/>
        <w:rPr>
          <w:rFonts w:cs="Times New Roman"/>
          <w:i/>
          <w:iCs/>
          <w:szCs w:val="22"/>
        </w:rPr>
      </w:pPr>
      <w:r>
        <w:rPr>
          <w:rFonts w:cs="Times New Roman"/>
          <w:szCs w:val="22"/>
        </w:rPr>
        <w:t xml:space="preserve">1. </w:t>
      </w:r>
      <w:r>
        <w:rPr>
          <w:rFonts w:cs="Times New Roman"/>
          <w:i/>
          <w:iCs/>
          <w:szCs w:val="22"/>
        </w:rPr>
        <w:t xml:space="preserve">Bidder have to quote rate per day of Skilled Worker the </w:t>
      </w:r>
      <w:proofErr w:type="gramStart"/>
      <w:r>
        <w:rPr>
          <w:rFonts w:cs="Times New Roman"/>
          <w:i/>
          <w:iCs/>
          <w:szCs w:val="22"/>
        </w:rPr>
        <w:t>rates ,</w:t>
      </w:r>
      <w:proofErr w:type="gramEnd"/>
      <w:r>
        <w:rPr>
          <w:rFonts w:cs="Times New Roman"/>
          <w:i/>
          <w:iCs/>
          <w:szCs w:val="22"/>
        </w:rPr>
        <w:t xml:space="preserve"> unskilled shall be derived based as weightage show in the above table.</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2. The rates quoted shall be excluding GST.</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3. The L1 bidder shall be decided based on overall cost to BHEL basis. </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4. The work will not be splitting among multiple parties under any circumstances. </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5. </w:t>
      </w:r>
      <w:r>
        <w:rPr>
          <w:rFonts w:cs="Times New Roman"/>
          <w:b/>
          <w:bCs/>
          <w:i/>
          <w:iCs/>
          <w:szCs w:val="22"/>
          <w:u w:val="single"/>
        </w:rPr>
        <w:t xml:space="preserve">Two nos. of skilled and two </w:t>
      </w:r>
      <w:proofErr w:type="spellStart"/>
      <w:r>
        <w:rPr>
          <w:rFonts w:cs="Times New Roman"/>
          <w:b/>
          <w:bCs/>
          <w:i/>
          <w:iCs/>
          <w:szCs w:val="22"/>
          <w:u w:val="single"/>
        </w:rPr>
        <w:t>nos</w:t>
      </w:r>
      <w:proofErr w:type="spellEnd"/>
      <w:r>
        <w:rPr>
          <w:rFonts w:cs="Times New Roman"/>
          <w:b/>
          <w:bCs/>
          <w:i/>
          <w:iCs/>
          <w:szCs w:val="22"/>
          <w:u w:val="single"/>
        </w:rPr>
        <w:t xml:space="preserve"> un-skilled worker required.</w:t>
      </w:r>
    </w:p>
    <w:p>
      <w:pPr>
        <w:jc w:val="both"/>
        <w:rPr>
          <w:rFonts w:ascii="Courier New" w:hAnsi="Courier New" w:cs="Courier New"/>
          <w:b/>
          <w:bCs/>
          <w:color w:val="000000"/>
          <w:u w:val="single"/>
          <w:shd w:val="clear" w:color="auto" w:fill="FFFFFF"/>
        </w:rPr>
      </w:pPr>
    </w:p>
    <w:p>
      <w:pPr>
        <w:pStyle w:val="ListParagraph"/>
        <w:ind w:left="1080"/>
      </w:pPr>
      <w:r>
        <w:t>.</w:t>
      </w:r>
    </w:p>
    <w:p>
      <w:pPr>
        <w:rPr>
          <w:b/>
          <w:bCs/>
        </w:rPr>
      </w:pPr>
      <w:r>
        <w:rPr>
          <w:b/>
          <w:bCs/>
        </w:rPr>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lang w:val="en-US"/>
        </w:rPr>
        <w:t>6.Discrepancy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rPr>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rPr>
        <w:t xml:space="preserve">multiplying the unit price by the quantity), the unit price shall prevail and the </w:t>
      </w:r>
      <w:proofErr w:type="spellStart"/>
      <w:r>
        <w:rPr>
          <w:rFonts w:ascii="Verdana" w:hAnsi="Verdana" w:cs="Times New Roman"/>
          <w:color w:val="333333"/>
        </w:rPr>
        <w:t>totalprice</w:t>
      </w:r>
      <w:proofErr w:type="spellEnd"/>
      <w:r>
        <w:rPr>
          <w:rFonts w:ascii="Verdana" w:hAnsi="Verdana" w:cs="Times New Roman"/>
          <w:color w:val="333333"/>
        </w:rPr>
        <w:t xml:space="preserv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rPr>
        <w:t xml:space="preserve">obvious misplacement of the decimal point in the unit price, in which case the </w:t>
      </w:r>
      <w:proofErr w:type="spellStart"/>
      <w:r>
        <w:rPr>
          <w:rFonts w:ascii="Verdana" w:hAnsi="Verdana" w:cs="Times New Roman"/>
          <w:color w:val="333333"/>
        </w:rPr>
        <w:t>totalprice</w:t>
      </w:r>
      <w:proofErr w:type="spellEnd"/>
      <w:r>
        <w:rPr>
          <w:rFonts w:ascii="Verdana" w:hAnsi="Verdana" w:cs="Times New Roman"/>
          <w:color w:val="333333"/>
        </w:rPr>
        <w:t xml:space="preserv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 xml:space="preserve">(b) If there is an error in a total corresponding to the addition or subtraction of </w:t>
      </w:r>
      <w:proofErr w:type="gramStart"/>
      <w:r>
        <w:rPr>
          <w:rFonts w:ascii="Verdana" w:hAnsi="Verdana" w:cs="Times New Roman"/>
          <w:color w:val="333333"/>
        </w:rPr>
        <w:t>subtotals ,the</w:t>
      </w:r>
      <w:proofErr w:type="gramEnd"/>
      <w:r>
        <w:rPr>
          <w:rFonts w:ascii="Verdana" w:hAnsi="Verdana" w:cs="Times New Roman"/>
          <w:color w:val="333333"/>
        </w:rPr>
        <w:t xml:space="preserv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rPr>
        <w:t xml:space="preserve">target date </w:t>
      </w:r>
      <w:proofErr w:type="spellStart"/>
      <w:r>
        <w:rPr>
          <w:rFonts w:ascii="Verdana" w:hAnsi="Verdana" w:cs="Times New Roman"/>
          <w:color w:val="333333"/>
        </w:rPr>
        <w:t>upto</w:t>
      </w:r>
      <w:proofErr w:type="spellEnd"/>
      <w:r>
        <w:rPr>
          <w:rFonts w:ascii="Verdana" w:hAnsi="Verdana" w:cs="Times New Roman"/>
          <w:color w:val="333333"/>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rPr>
        <w:t xml:space="preserve">7. </w:t>
      </w:r>
      <w:r>
        <w:rPr>
          <w:rFonts w:ascii="Verdana" w:hAnsi="Verdana" w:cs="Times New Roman"/>
          <w:b/>
          <w:bCs/>
          <w:color w:val="333333"/>
          <w:u w:val="single"/>
        </w:rPr>
        <w:t xml:space="preserve">overwriting </w:t>
      </w:r>
      <w:proofErr w:type="gramStart"/>
      <w:r>
        <w:rPr>
          <w:rFonts w:ascii="Verdana" w:hAnsi="Verdana" w:cs="Times New Roman"/>
          <w:b/>
          <w:bCs/>
          <w:color w:val="333333"/>
          <w:u w:val="single"/>
        </w:rPr>
        <w:t>clause  as</w:t>
      </w:r>
      <w:proofErr w:type="gramEnd"/>
      <w:r>
        <w:rPr>
          <w:rFonts w:ascii="Verdana" w:hAnsi="Verdana" w:cs="Times New Roman"/>
          <w:b/>
          <w:bCs/>
          <w:color w:val="333333"/>
          <w:u w:val="single"/>
        </w:rPr>
        <w:t xml:space="preserve"> follows</w:t>
      </w:r>
      <w:r>
        <w:rPr>
          <w:rFonts w:ascii="Verdana" w:hAnsi="Verdana" w:cs="Times New Roman"/>
          <w:color w:val="333333"/>
        </w:rPr>
        <w:t>:</w:t>
      </w:r>
    </w:p>
    <w:p>
      <w:pPr>
        <w:shd w:val="clear" w:color="auto" w:fill="D6FFCC"/>
        <w:jc w:val="both"/>
        <w:rPr>
          <w:rFonts w:ascii="Verdana" w:hAnsi="Verdana" w:cs="Times New Roman"/>
          <w:color w:val="333333"/>
          <w:sz w:val="18"/>
          <w:szCs w:val="18"/>
        </w:rPr>
      </w:pPr>
      <w:r>
        <w:rPr>
          <w:rFonts w:ascii="Verdana" w:hAnsi="Verdana" w:cs="Times New Roman"/>
          <w:color w:val="333333"/>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rPr>
        <w:t>etc</w:t>
      </w:r>
      <w:proofErr w:type="spellEnd"/>
      <w:r>
        <w:rPr>
          <w:rFonts w:ascii="Verdana" w:hAnsi="Verdana" w:cs="Times New Roman"/>
          <w:color w:val="333333"/>
        </w:rPr>
        <w:t xml:space="preserve"> will be numbered by bid opening officials and announced during bid opening.”</w:t>
      </w:r>
    </w:p>
    <w:p>
      <w:pPr>
        <w:pStyle w:val="ListParagraph"/>
        <w:ind w:left="1080"/>
        <w:rPr>
          <w:b/>
          <w:bCs/>
        </w:rPr>
      </w:pPr>
    </w:p>
    <w:p>
      <w:pPr>
        <w:tabs>
          <w:tab w:val="left" w:pos="3060"/>
          <w:tab w:val="left" w:pos="3420"/>
          <w:tab w:val="left" w:pos="3690"/>
          <w:tab w:val="left" w:pos="4140"/>
          <w:tab w:val="left" w:pos="8460"/>
        </w:tabs>
        <w:spacing w:before="120" w:after="120"/>
        <w:rPr>
          <w:rFonts w:cs="Times New Roman"/>
          <w:b/>
          <w:bCs/>
          <w:i/>
          <w:iCs/>
          <w:szCs w:val="22"/>
          <w:u w:val="single"/>
        </w:rPr>
      </w:pPr>
      <w:r>
        <w:rPr>
          <w:b/>
          <w:bCs/>
        </w:rPr>
        <w:t>8</w:t>
      </w:r>
      <w:r>
        <w:rPr>
          <w:rFonts w:cs="Times New Roman"/>
          <w:i/>
          <w:iCs/>
          <w:szCs w:val="22"/>
        </w:rPr>
        <w:t xml:space="preserve">. </w:t>
      </w:r>
      <w:r>
        <w:rPr>
          <w:rFonts w:cs="Times New Roman"/>
          <w:b/>
          <w:bCs/>
          <w:i/>
          <w:iCs/>
          <w:szCs w:val="22"/>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Cs w:val="22"/>
          <w:u w:val="single"/>
        </w:rPr>
      </w:pPr>
      <w:proofErr w:type="spellStart"/>
      <w:r>
        <w:rPr>
          <w:rFonts w:cs="Times New Roman"/>
          <w:b/>
          <w:bCs/>
          <w:i/>
          <w:iCs/>
          <w:szCs w:val="22"/>
          <w:u w:val="single"/>
        </w:rPr>
        <w:t>i</w:t>
      </w:r>
      <w:proofErr w:type="spellEnd"/>
      <w:r>
        <w:rPr>
          <w:rFonts w:cs="Times New Roman"/>
          <w:b/>
          <w:bCs/>
          <w:i/>
          <w:iCs/>
          <w:szCs w:val="22"/>
          <w:u w:val="single"/>
        </w:rPr>
        <w:t xml:space="preserve">. In the course of </w:t>
      </w:r>
      <w:proofErr w:type="gramStart"/>
      <w:r>
        <w:rPr>
          <w:rFonts w:cs="Times New Roman"/>
          <w:b/>
          <w:bCs/>
          <w:i/>
          <w:iCs/>
          <w:szCs w:val="22"/>
          <w:u w:val="single"/>
        </w:rPr>
        <w:t>evaluation ,</w:t>
      </w:r>
      <w:proofErr w:type="gramEnd"/>
      <w:r>
        <w:rPr>
          <w:rFonts w:cs="Times New Roman"/>
          <w:b/>
          <w:bCs/>
          <w:i/>
          <w:iCs/>
          <w:szCs w:val="22"/>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 xml:space="preserve">ii. In case more than one bidder happens to occupy the L-1 status even after soliciting </w:t>
      </w:r>
      <w:proofErr w:type="gramStart"/>
      <w:r>
        <w:rPr>
          <w:rFonts w:cs="Times New Roman"/>
          <w:b/>
          <w:bCs/>
          <w:i/>
          <w:iCs/>
          <w:szCs w:val="22"/>
          <w:u w:val="single"/>
        </w:rPr>
        <w:t>discount ,</w:t>
      </w:r>
      <w:proofErr w:type="gramEnd"/>
      <w:r>
        <w:rPr>
          <w:rFonts w:cs="Times New Roman"/>
          <w:b/>
          <w:bCs/>
          <w:i/>
          <w:iCs/>
          <w:szCs w:val="22"/>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szCs w:val="22"/>
          <w:u w:val="single"/>
        </w:rPr>
      </w:pPr>
    </w:p>
    <w:p>
      <w:pPr>
        <w:tabs>
          <w:tab w:val="left" w:pos="3060"/>
          <w:tab w:val="left" w:pos="3420"/>
          <w:tab w:val="left" w:pos="3690"/>
          <w:tab w:val="left" w:pos="4140"/>
          <w:tab w:val="left" w:pos="8460"/>
        </w:tabs>
        <w:spacing w:before="120" w:after="120"/>
        <w:rPr>
          <w:rFonts w:cs="Times New Roman"/>
          <w:b/>
          <w:bCs/>
          <w:i/>
          <w:iCs/>
          <w:szCs w:val="22"/>
          <w:u w:val="single"/>
        </w:rPr>
      </w:pPr>
      <w:r>
        <w:rPr>
          <w:b/>
          <w:bCs/>
        </w:rPr>
        <w:lastRenderedPageBreak/>
        <w:t xml:space="preserve">  DY MGR (FRX)</w:t>
      </w:r>
    </w:p>
    <w:p>
      <w:pPr>
        <w:pStyle w:val="ListParagraph"/>
        <w:ind w:left="1080"/>
        <w:rPr>
          <w:b/>
          <w:bCs/>
        </w:rPr>
      </w:pPr>
    </w:p>
    <w:p>
      <w:pPr>
        <w:jc w:val="both"/>
        <w:rPr>
          <w:rFonts w:cs="Times New Roman"/>
          <w:b/>
          <w:bCs/>
        </w:rPr>
      </w:pPr>
    </w:p>
    <w:p>
      <w:pPr>
        <w:rPr>
          <w:rFonts w:cs="Times New Roman"/>
          <w:b/>
          <w:bCs/>
        </w:rPr>
      </w:pPr>
    </w:p>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5EF3"/>
    <w:multiLevelType w:val="hybridMultilevel"/>
    <w:tmpl w:val="1C02CE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1131A17"/>
    <w:multiLevelType w:val="hybridMultilevel"/>
    <w:tmpl w:val="613CCBF4"/>
    <w:lvl w:ilvl="0" w:tplc="5AB09E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FEDADC-7106-405A-B1B5-407EDAB6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rPr>
      <w:rFonts w:ascii="Times New Roman" w:eastAsia="Times New Roma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spacing w:after="160" w:line="259" w:lineRule="auto"/>
      <w:ind w:left="720"/>
      <w:contextualSpacing/>
    </w:pPr>
    <w:rPr>
      <w:rFonts w:eastAsiaTheme="minorHAnsi" w:cstheme="minorBidi"/>
      <w:sz w:val="28"/>
      <w:szCs w:val="20"/>
      <w:lang w:val="en-IN"/>
    </w:r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17</cp:revision>
  <cp:lastPrinted>2021-10-13T04:41:00Z</cp:lastPrinted>
  <dcterms:created xsi:type="dcterms:W3CDTF">2020-09-28T02:14:00Z</dcterms:created>
  <dcterms:modified xsi:type="dcterms:W3CDTF">2021-10-29T05:07:00Z</dcterms:modified>
</cp:coreProperties>
</file>